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Are College Towns Good STR Locations?</w:t>
      </w:r>
    </w:p>
    <w:p w:rsidR="00000000" w:rsidDel="00000000" w:rsidP="00000000" w:rsidRDefault="00000000" w:rsidRPr="00000000" w14:paraId="00000002">
      <w:pPr>
        <w:spacing w:after="240" w:before="240" w:lineRule="auto"/>
        <w:rPr/>
      </w:pPr>
      <w:r w:rsidDel="00000000" w:rsidR="00000000" w:rsidRPr="00000000">
        <w:rPr>
          <w:rtl w:val="0"/>
        </w:rPr>
        <w:t xml:space="preserve">College towns can be strong short‑term rental locations because they have built‑in demand from visiting parents, big game days, graduation weekends, academic conferences, and medical or business travel tied to the school calendar. In Oregon, that includes larger hubs like Eugene (University of Oregon), Corvallis (Oregon State University), and Portland (Portland State and several private campuses), as well as smaller communities such as Forest Grove (Pacific University), Newberg (George Fox University), and McMinnville (Linfield University). At the same time, many of these cities are tightening STR rules—often requiring a primary residence, restricting certain neighborhoods, or capping license numbers—so college towns should be viewed as high‑potential but policy‑sensitive markets where checking the city’s official STR or business‑license page is a non‑negotiable first step</w:t>
      </w:r>
    </w:p>
    <w:p w:rsidR="00000000" w:rsidDel="00000000" w:rsidP="00000000" w:rsidRDefault="00000000" w:rsidRPr="00000000" w14:paraId="00000003">
      <w:pPr>
        <w:pStyle w:val="Heading2"/>
        <w:keepNext w:val="0"/>
        <w:keepLines w:val="0"/>
        <w:spacing w:after="80" w:before="0" w:line="300" w:lineRule="auto"/>
        <w:rPr>
          <w:rFonts w:ascii="Georgia" w:cs="Georgia" w:eastAsia="Georgia" w:hAnsi="Georgia"/>
          <w:b w:val="1"/>
          <w:bCs w:val="1"/>
          <w:color w:val="27251e"/>
          <w:sz w:val="36"/>
          <w:szCs w:val="36"/>
        </w:rPr>
      </w:pPr>
      <w:bookmarkStart w:colFirst="0" w:colLast="0" w:name="_1fmv7gfnr8md" w:id="0"/>
      <w:bookmarkEnd w:id="0"/>
      <w:r w:rsidDel="00000000" w:rsidR="00000000" w:rsidRPr="00000000">
        <w:rPr>
          <w:rFonts w:ascii="Georgia" w:cs="Georgia" w:eastAsia="Georgia" w:hAnsi="Georgia"/>
          <w:b w:val="1"/>
          <w:bCs w:val="1"/>
          <w:color w:val="27251e"/>
          <w:sz w:val="36"/>
          <w:szCs w:val="36"/>
          <w:rtl w:val="0"/>
        </w:rPr>
        <w:t xml:space="preserve">Oregon college‑town STR links</w:t>
      </w:r>
    </w:p>
    <w:p w:rsidR="00000000" w:rsidDel="00000000" w:rsidP="00000000" w:rsidRDefault="00000000" w:rsidRPr="00000000" w14:paraId="00000004">
      <w:pPr>
        <w:spacing w:after="120" w:before="120" w:line="390" w:lineRule="auto"/>
        <w:rPr>
          <w:rFonts w:ascii="Georgia" w:cs="Georgia" w:eastAsia="Georgia" w:hAnsi="Georgia"/>
          <w:b w:val="1"/>
          <w:bCs w:val="1"/>
          <w:color w:val="27251e"/>
          <w:sz w:val="24"/>
          <w:szCs w:val="24"/>
        </w:rPr>
      </w:pPr>
      <w:r w:rsidDel="00000000" w:rsidR="00000000" w:rsidRPr="00000000">
        <w:rPr>
          <w:rFonts w:ascii="Georgia" w:cs="Georgia" w:eastAsia="Georgia" w:hAnsi="Georgia"/>
          <w:color w:val="27251e"/>
          <w:sz w:val="24"/>
          <w:szCs w:val="24"/>
          <w:rtl w:val="0"/>
        </w:rPr>
        <w:t xml:space="preserve">Use this header:</w:t>
        <w:br w:type="textWrapping"/>
      </w:r>
      <w:r w:rsidDel="00000000" w:rsidR="00000000" w:rsidRPr="00000000">
        <w:rPr>
          <w:rFonts w:ascii="Georgia" w:cs="Georgia" w:eastAsia="Georgia" w:hAnsi="Georgia"/>
          <w:b w:val="1"/>
          <w:bCs w:val="1"/>
          <w:color w:val="27251e"/>
          <w:sz w:val="24"/>
          <w:szCs w:val="24"/>
          <w:rtl w:val="0"/>
        </w:rPr>
        <w:t xml:space="preserve">Oregon College Towns – Official STR / City Links</w:t>
      </w:r>
    </w:p>
    <w:p w:rsidR="00000000" w:rsidDel="00000000" w:rsidP="00000000" w:rsidRDefault="00000000" w:rsidRPr="00000000" w14:paraId="00000005">
      <w:pPr>
        <w:numPr>
          <w:ilvl w:val="0"/>
          <w:numId w:val="1"/>
        </w:numPr>
        <w:pBdr>
          <w:top w:color="auto" w:space="0" w:sz="0" w:val="none"/>
          <w:bottom w:color="auto" w:space="0" w:sz="0" w:val="none"/>
          <w:between w:color="auto" w:space="0" w:sz="0" w:val="none"/>
        </w:pBdr>
        <w:ind w:left="720" w:hanging="360"/>
      </w:pPr>
      <w:r w:rsidDel="00000000" w:rsidR="00000000" w:rsidRPr="00000000">
        <w:rPr>
          <w:rFonts w:ascii="Georgia" w:cs="Georgia" w:eastAsia="Georgia" w:hAnsi="Georgia"/>
          <w:b w:val="1"/>
          <w:bCs w:val="1"/>
          <w:color w:val="27251e"/>
          <w:sz w:val="24"/>
          <w:szCs w:val="24"/>
          <w:rtl w:val="0"/>
        </w:rPr>
        <w:t xml:space="preserve">Eugene</w:t>
      </w:r>
      <w:r w:rsidDel="00000000" w:rsidR="00000000" w:rsidRPr="00000000">
        <w:rPr>
          <w:rFonts w:ascii="Georgia" w:cs="Georgia" w:eastAsia="Georgia" w:hAnsi="Georgia"/>
          <w:color w:val="27251e"/>
          <w:sz w:val="24"/>
          <w:szCs w:val="24"/>
          <w:rtl w:val="0"/>
        </w:rPr>
        <w:t xml:space="preserve"> – City of Eugene short‑term rentals page (permit, safety standards, density/notice rules).</w:t>
      </w:r>
    </w:p>
    <w:p w:rsidR="00000000" w:rsidDel="00000000" w:rsidP="00000000" w:rsidRDefault="00000000" w:rsidRPr="00000000" w14:paraId="00000006">
      <w:pPr>
        <w:numPr>
          <w:ilvl w:val="0"/>
          <w:numId w:val="1"/>
        </w:numPr>
        <w:pBdr>
          <w:top w:color="auto" w:space="0" w:sz="0" w:val="none"/>
          <w:bottom w:color="auto" w:space="0" w:sz="0" w:val="none"/>
          <w:between w:color="auto" w:space="0" w:sz="0" w:val="none"/>
        </w:pBdr>
        <w:ind w:left="720" w:hanging="360"/>
      </w:pPr>
      <w:r w:rsidDel="00000000" w:rsidR="00000000" w:rsidRPr="00000000">
        <w:rPr>
          <w:rFonts w:ascii="Georgia" w:cs="Georgia" w:eastAsia="Georgia" w:hAnsi="Georgia"/>
          <w:b w:val="1"/>
          <w:bCs w:val="1"/>
          <w:color w:val="27251e"/>
          <w:sz w:val="24"/>
          <w:szCs w:val="24"/>
          <w:rtl w:val="0"/>
        </w:rPr>
        <w:t xml:space="preserve">Corvallis</w:t>
      </w:r>
      <w:r w:rsidDel="00000000" w:rsidR="00000000" w:rsidRPr="00000000">
        <w:rPr>
          <w:rFonts w:ascii="Georgia" w:cs="Georgia" w:eastAsia="Georgia" w:hAnsi="Georgia"/>
          <w:color w:val="27251e"/>
          <w:sz w:val="24"/>
          <w:szCs w:val="24"/>
          <w:rtl w:val="0"/>
        </w:rPr>
        <w:t xml:space="preserve"> – City of Corvallis short‑term rentals / transient lodging page (licensing and zoning details).</w:t>
      </w:r>
    </w:p>
    <w:p w:rsidR="00000000" w:rsidDel="00000000" w:rsidP="00000000" w:rsidRDefault="00000000" w:rsidRPr="00000000" w14:paraId="00000007">
      <w:pPr>
        <w:numPr>
          <w:ilvl w:val="0"/>
          <w:numId w:val="1"/>
        </w:numPr>
        <w:pBdr>
          <w:top w:color="auto" w:space="0" w:sz="0" w:val="none"/>
          <w:bottom w:color="auto" w:space="0" w:sz="0" w:val="none"/>
          <w:between w:color="auto" w:space="0" w:sz="0" w:val="none"/>
        </w:pBdr>
        <w:ind w:left="720" w:hanging="360"/>
      </w:pPr>
      <w:r w:rsidDel="00000000" w:rsidR="00000000" w:rsidRPr="00000000">
        <w:rPr>
          <w:rFonts w:ascii="Georgia" w:cs="Georgia" w:eastAsia="Georgia" w:hAnsi="Georgia"/>
          <w:b w:val="1"/>
          <w:bCs w:val="1"/>
          <w:color w:val="27251e"/>
          <w:sz w:val="24"/>
          <w:szCs w:val="24"/>
          <w:rtl w:val="0"/>
        </w:rPr>
        <w:t xml:space="preserve">Portland</w:t>
      </w:r>
      <w:r w:rsidDel="00000000" w:rsidR="00000000" w:rsidRPr="00000000">
        <w:rPr>
          <w:rFonts w:ascii="Georgia" w:cs="Georgia" w:eastAsia="Georgia" w:hAnsi="Georgia"/>
          <w:color w:val="27251e"/>
          <w:sz w:val="24"/>
          <w:szCs w:val="24"/>
          <w:rtl w:val="0"/>
        </w:rPr>
        <w:t xml:space="preserve"> – City of Portland Accessory Short‑Term Rental (ASTR) page (Type A/B permits, primary‑residence requirement).</w:t>
      </w:r>
    </w:p>
    <w:p w:rsidR="00000000" w:rsidDel="00000000" w:rsidP="00000000" w:rsidRDefault="00000000" w:rsidRPr="00000000" w14:paraId="00000008">
      <w:pPr>
        <w:numPr>
          <w:ilvl w:val="0"/>
          <w:numId w:val="1"/>
        </w:numPr>
        <w:pBdr>
          <w:top w:color="auto" w:space="0" w:sz="0" w:val="none"/>
          <w:bottom w:color="auto" w:space="0" w:sz="0" w:val="none"/>
          <w:between w:color="auto" w:space="0" w:sz="0" w:val="none"/>
        </w:pBdr>
        <w:ind w:left="720" w:hanging="360"/>
      </w:pPr>
      <w:r w:rsidDel="00000000" w:rsidR="00000000" w:rsidRPr="00000000">
        <w:rPr>
          <w:rFonts w:ascii="Georgia" w:cs="Georgia" w:eastAsia="Georgia" w:hAnsi="Georgia"/>
          <w:b w:val="1"/>
          <w:bCs w:val="1"/>
          <w:color w:val="27251e"/>
          <w:sz w:val="24"/>
          <w:szCs w:val="24"/>
          <w:rtl w:val="0"/>
        </w:rPr>
        <w:t xml:space="preserve">Forest Grove</w:t>
      </w:r>
      <w:r w:rsidDel="00000000" w:rsidR="00000000" w:rsidRPr="00000000">
        <w:rPr>
          <w:rFonts w:ascii="Georgia" w:cs="Georgia" w:eastAsia="Georgia" w:hAnsi="Georgia"/>
          <w:color w:val="27251e"/>
          <w:sz w:val="24"/>
          <w:szCs w:val="24"/>
          <w:rtl w:val="0"/>
        </w:rPr>
        <w:t xml:space="preserve"> (Pacific University) – City of Forest Grove business license / lodging and STR information (used to register STRs and verify zoning).</w:t>
      </w:r>
    </w:p>
    <w:p w:rsidR="00000000" w:rsidDel="00000000" w:rsidP="00000000" w:rsidRDefault="00000000" w:rsidRPr="00000000" w14:paraId="00000009">
      <w:pPr>
        <w:numPr>
          <w:ilvl w:val="0"/>
          <w:numId w:val="1"/>
        </w:numPr>
        <w:pBdr>
          <w:top w:color="auto" w:space="0" w:sz="0" w:val="none"/>
          <w:bottom w:color="auto" w:space="0" w:sz="0" w:val="none"/>
          <w:between w:color="auto" w:space="0" w:sz="0" w:val="none"/>
        </w:pBdr>
        <w:ind w:left="720" w:hanging="360"/>
      </w:pPr>
      <w:r w:rsidDel="00000000" w:rsidR="00000000" w:rsidRPr="00000000">
        <w:rPr>
          <w:rFonts w:ascii="Georgia" w:cs="Georgia" w:eastAsia="Georgia" w:hAnsi="Georgia"/>
          <w:b w:val="1"/>
          <w:bCs w:val="1"/>
          <w:color w:val="27251e"/>
          <w:sz w:val="24"/>
          <w:szCs w:val="24"/>
          <w:rtl w:val="0"/>
        </w:rPr>
        <w:t xml:space="preserve">Newberg</w:t>
      </w:r>
      <w:r w:rsidDel="00000000" w:rsidR="00000000" w:rsidRPr="00000000">
        <w:rPr>
          <w:rFonts w:ascii="Georgia" w:cs="Georgia" w:eastAsia="Georgia" w:hAnsi="Georgia"/>
          <w:color w:val="27251e"/>
          <w:sz w:val="24"/>
          <w:szCs w:val="24"/>
          <w:rtl w:val="0"/>
        </w:rPr>
        <w:t xml:space="preserve"> (George Fox University) – City of Newberg short‑term rental program page (licensing, neighbor notification, operating standards).</w:t>
      </w:r>
    </w:p>
    <w:p w:rsidR="00000000" w:rsidDel="00000000" w:rsidP="00000000" w:rsidRDefault="00000000" w:rsidRPr="00000000" w14:paraId="0000000A">
      <w:pPr>
        <w:numPr>
          <w:ilvl w:val="0"/>
          <w:numId w:val="1"/>
        </w:numPr>
        <w:pBdr>
          <w:top w:color="auto" w:space="0" w:sz="0" w:val="none"/>
          <w:bottom w:color="auto" w:space="0" w:sz="0" w:val="none"/>
          <w:between w:color="auto" w:space="0" w:sz="0" w:val="none"/>
        </w:pBdr>
        <w:spacing w:after="0" w:afterAutospacing="0"/>
        <w:ind w:left="720" w:hanging="360"/>
      </w:pPr>
      <w:r w:rsidDel="00000000" w:rsidR="00000000" w:rsidRPr="00000000">
        <w:rPr>
          <w:rFonts w:ascii="Georgia" w:cs="Georgia" w:eastAsia="Georgia" w:hAnsi="Georgia"/>
          <w:b w:val="1"/>
          <w:bCs w:val="1"/>
          <w:color w:val="27251e"/>
          <w:sz w:val="24"/>
          <w:szCs w:val="24"/>
          <w:rtl w:val="0"/>
        </w:rPr>
        <w:t xml:space="preserve">McMinnville</w:t>
      </w:r>
      <w:r w:rsidDel="00000000" w:rsidR="00000000" w:rsidRPr="00000000">
        <w:rPr>
          <w:rFonts w:ascii="Georgia" w:cs="Georgia" w:eastAsia="Georgia" w:hAnsi="Georgia"/>
          <w:color w:val="27251e"/>
          <w:sz w:val="24"/>
          <w:szCs w:val="24"/>
          <w:rtl w:val="0"/>
        </w:rPr>
        <w:t xml:space="preserve"> (Linfield University) – City of McMinnville short‑term rental page, including:</w:t>
      </w:r>
    </w:p>
    <w:p w:rsidR="00000000" w:rsidDel="00000000" w:rsidP="00000000" w:rsidRDefault="00000000" w:rsidRPr="00000000" w14:paraId="0000000B">
      <w:pPr>
        <w:numPr>
          <w:ilvl w:val="1"/>
          <w:numId w:val="1"/>
        </w:numPr>
        <w:pBdr>
          <w:top w:color="auto" w:space="0" w:sz="0" w:val="none"/>
          <w:bottom w:color="auto" w:space="0" w:sz="0" w:val="none"/>
          <w:between w:color="auto" w:space="0" w:sz="0" w:val="none"/>
        </w:pBdr>
        <w:spacing w:after="0" w:afterAutospacing="0" w:before="0" w:beforeAutospacing="0" w:lineRule="auto"/>
        <w:ind w:left="1440" w:hanging="360"/>
      </w:pPr>
      <w:r w:rsidDel="00000000" w:rsidR="00000000" w:rsidRPr="00000000">
        <w:rPr>
          <w:rFonts w:ascii="Georgia" w:cs="Georgia" w:eastAsia="Georgia" w:hAnsi="Georgia"/>
          <w:color w:val="27251e"/>
          <w:sz w:val="24"/>
          <w:szCs w:val="24"/>
          <w:rtl w:val="0"/>
        </w:rPr>
        <w:t xml:space="preserve">Main STR standards and permit info (Short‑Term Rental Standards / applications).</w:t>
      </w:r>
    </w:p>
    <w:p w:rsidR="00000000" w:rsidDel="00000000" w:rsidP="00000000" w:rsidRDefault="00000000" w:rsidRPr="00000000" w14:paraId="0000000C">
      <w:pPr>
        <w:numPr>
          <w:ilvl w:val="1"/>
          <w:numId w:val="1"/>
        </w:numPr>
        <w:pBdr>
          <w:top w:color="auto" w:space="0" w:sz="0" w:val="none"/>
          <w:bottom w:color="auto" w:space="0" w:sz="0" w:val="none"/>
          <w:between w:color="auto" w:space="0" w:sz="0" w:val="none"/>
        </w:pBdr>
        <w:spacing w:after="180" w:before="0" w:beforeAutospacing="0" w:lineRule="auto"/>
        <w:ind w:left="1440" w:hanging="360"/>
      </w:pPr>
      <w:r w:rsidDel="00000000" w:rsidR="00000000" w:rsidRPr="00000000">
        <w:rPr>
          <w:rFonts w:ascii="Georgia" w:cs="Georgia" w:eastAsia="Georgia" w:hAnsi="Georgia"/>
          <w:color w:val="27251e"/>
          <w:sz w:val="24"/>
          <w:szCs w:val="24"/>
          <w:rtl w:val="0"/>
        </w:rPr>
        <w:t xml:space="preserve">Short‑Term Rental Re‑Evaluation page (current permit counts and policy updates).</w:t>
      </w:r>
    </w:p>
    <w:p w:rsidR="00000000" w:rsidDel="00000000" w:rsidP="00000000" w:rsidRDefault="00000000" w:rsidRPr="00000000" w14:paraId="0000000D">
      <w:pPr>
        <w:spacing w:after="500" w:before="500" w:line="390" w:lineRule="auto"/>
        <w:rPr>
          <w:rFonts w:ascii="Georgia" w:cs="Georgia" w:eastAsia="Georgia" w:hAnsi="Georgia"/>
          <w:color w:val="27251e"/>
          <w:sz w:val="24"/>
          <w:szCs w:val="24"/>
        </w:rPr>
      </w:pPr>
      <w:r w:rsidDel="00000000" w:rsidR="00000000" w:rsidRPr="00000000">
        <w:rPr>
          <w:rFonts w:ascii="Georgia" w:cs="Georgia" w:eastAsia="Georgia" w:hAnsi="Georgia"/>
          <w:color w:val="27251e"/>
          <w:sz w:val="24"/>
          <w:szCs w:val="24"/>
          <w:rtl w:val="0"/>
        </w:rPr>
        <w:t xml:space="preserve">“College towns can be strong short‑term rental locations…”</w:t>
      </w:r>
    </w:p>
    <w:p w:rsidR="00000000" w:rsidDel="00000000" w:rsidP="00000000" w:rsidRDefault="00000000" w:rsidRPr="00000000" w14:paraId="0000000E">
      <w:pPr>
        <w:spacing w:before="240" w:lineRule="auto"/>
        <w:rPr>
          <w:rFonts w:ascii="Roboto" w:cs="Roboto" w:eastAsia="Roboto" w:hAnsi="Roboto"/>
          <w:color w:val="27251e"/>
          <w:sz w:val="24"/>
          <w:szCs w:val="24"/>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Georgia" w:cs="Georgia" w:eastAsia="Georgia" w:hAnsi="Georgia"/>
        <w:b w:val="0"/>
        <w:bCs w:val="0"/>
        <w:i w:val="0"/>
        <w:iCs w:val="0"/>
        <w:smallCaps w:val="0"/>
        <w:color w:val="27251e"/>
        <w:sz w:val="24"/>
        <w:szCs w:val="24"/>
        <w:u w:val="none"/>
      </w:rPr>
    </w:lvl>
    <w:lvl w:ilvl="1">
      <w:start w:val="1"/>
      <w:numFmt w:val="bullet"/>
      <w:lvlText w:val="●"/>
      <w:lvlJc w:val="left"/>
      <w:pPr>
        <w:ind w:left="1440" w:hanging="360"/>
      </w:pPr>
      <w:rPr>
        <w:rFonts w:ascii="Georgia" w:cs="Georgia" w:eastAsia="Georgia" w:hAnsi="Georgia"/>
        <w:b w:val="0"/>
        <w:bCs w:val="0"/>
        <w:i w:val="0"/>
        <w:iCs w:val="0"/>
        <w:smallCaps w:val="0"/>
        <w:color w:val="27251e"/>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